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4A00" w14:textId="3319B399" w:rsidR="005036AA" w:rsidRDefault="005036AA" w:rsidP="005036AA">
      <w:pPr>
        <w:rPr>
          <w:b/>
          <w:bCs/>
        </w:rPr>
      </w:pPr>
    </w:p>
    <w:p w14:paraId="6D071222" w14:textId="0A920AB5" w:rsidR="00877A9B" w:rsidRPr="00F34207" w:rsidRDefault="009D2B2D" w:rsidP="00877A9B">
      <w:pPr>
        <w:pStyle w:val="QAPageHeaders"/>
      </w:pPr>
      <w:r>
        <w:t>FOLLOW-UP SURVEYS</w:t>
      </w:r>
    </w:p>
    <w:p w14:paraId="2A3B11E5" w14:textId="77777777" w:rsidR="00D85108" w:rsidRDefault="00D85108" w:rsidP="005036AA">
      <w:pPr>
        <w:rPr>
          <w:rFonts w:ascii="Arial" w:hAnsi="Arial" w:cs="Arial"/>
          <w:b/>
          <w:bCs/>
        </w:rPr>
      </w:pPr>
    </w:p>
    <w:p w14:paraId="7C0BC700" w14:textId="1FD0D9AA" w:rsidR="005036AA" w:rsidRDefault="00F44520" w:rsidP="005036AA">
      <w:pPr>
        <w:rPr>
          <w:rFonts w:ascii="Arial" w:hAnsi="Arial" w:cs="Arial"/>
          <w:b/>
          <w:bCs/>
        </w:rPr>
      </w:pPr>
      <w:r w:rsidRPr="1D1B6C8B">
        <w:rPr>
          <w:rFonts w:ascii="Arial" w:hAnsi="Arial" w:cs="Arial"/>
          <w:b/>
          <w:bCs/>
          <w:sz w:val="24"/>
          <w:szCs w:val="24"/>
        </w:rPr>
        <w:t>Purpose</w:t>
      </w:r>
      <w:r w:rsidRPr="1D1B6C8B">
        <w:rPr>
          <w:rFonts w:ascii="Arial" w:hAnsi="Arial" w:cs="Arial"/>
          <w:b/>
          <w:bCs/>
        </w:rPr>
        <w:t xml:space="preserve">:  </w:t>
      </w:r>
    </w:p>
    <w:p w14:paraId="7B2C344C" w14:textId="466E34DE" w:rsidR="0023478F" w:rsidRDefault="0023478F" w:rsidP="0023478F">
      <w:pPr>
        <w:pStyle w:val="paragraph"/>
        <w:spacing w:before="0" w:beforeAutospacing="0" w:after="0" w:afterAutospacing="0"/>
        <w:ind w:left="240" w:righ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A follow-up survey is an abbreviated focused survey and must be conducted </w:t>
      </w:r>
      <w:r>
        <w:rPr>
          <w:rStyle w:val="normaltextrun"/>
          <w:rFonts w:ascii="Cambria" w:hAnsi="Cambria" w:cs="Segoe UI"/>
          <w:u w:val="single"/>
        </w:rPr>
        <w:t>within 45</w:t>
      </w:r>
      <w:r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Cambria" w:hAnsi="Cambria" w:cs="Segoe UI"/>
          <w:u w:val="single"/>
        </w:rPr>
        <w:t>calendar days</w:t>
      </w:r>
      <w:r>
        <w:rPr>
          <w:rStyle w:val="normaltextrun"/>
          <w:rFonts w:ascii="Cambria" w:hAnsi="Cambria" w:cs="Segoe UI"/>
        </w:rPr>
        <w:t xml:space="preserve"> of the previous survey. (For Immediate Jeopardy situations, the follow-up survey must be conducted within 23 days of the previous survey.) It is not intended to be a comprehensive review of compliance with all standards. In most cases, the follow-up survey is conducted to validate that submitted corrections have been implemented by the facility. In other cases, the follow-up survey covers specific standards for specific reasons, directing the focus of the surveyor. The surveyor has the authority to cite any observed non-compliance in the facility, even if the cited standard is not within the original scope of the follow-up survey. </w:t>
      </w:r>
      <w:r>
        <w:rPr>
          <w:rStyle w:val="eop"/>
          <w:rFonts w:ascii="Cambria" w:hAnsi="Cambria" w:cs="Segoe UI"/>
        </w:rPr>
        <w:t> </w:t>
      </w:r>
    </w:p>
    <w:p w14:paraId="69DF3C7F" w14:textId="77777777" w:rsidR="0023478F" w:rsidRDefault="0023478F" w:rsidP="0023478F">
      <w:pPr>
        <w:pStyle w:val="paragraph"/>
        <w:spacing w:before="0" w:beforeAutospacing="0" w:after="0" w:afterAutospacing="0"/>
        <w:ind w:left="240" w:righ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420BBC3" w14:textId="77777777" w:rsidR="0023478F" w:rsidRDefault="0023478F" w:rsidP="0023478F">
      <w:pPr>
        <w:pStyle w:val="paragraph"/>
        <w:spacing w:before="0" w:beforeAutospacing="0" w:after="0" w:afterAutospacing="0"/>
        <w:ind w:left="240" w:righ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QUAD A may require a follow-up survey for:</w:t>
      </w:r>
      <w:r>
        <w:rPr>
          <w:rStyle w:val="eop"/>
          <w:rFonts w:ascii="Cambria" w:hAnsi="Cambria" w:cs="Segoe UI"/>
        </w:rPr>
        <w:t> </w:t>
      </w:r>
    </w:p>
    <w:p w14:paraId="66D009B2" w14:textId="77777777" w:rsidR="0023478F" w:rsidRDefault="0023478F" w:rsidP="0023478F">
      <w:pPr>
        <w:pStyle w:val="paragraph"/>
        <w:numPr>
          <w:ilvl w:val="0"/>
          <w:numId w:val="2"/>
        </w:numPr>
        <w:spacing w:before="0" w:beforeAutospacing="0" w:after="0" w:afterAutospacing="0"/>
        <w:ind w:left="99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Significant non-compliance with standards</w:t>
      </w:r>
      <w:r>
        <w:rPr>
          <w:rStyle w:val="eop"/>
          <w:rFonts w:ascii="Cambria" w:hAnsi="Cambria" w:cs="Segoe UI"/>
        </w:rPr>
        <w:t> </w:t>
      </w:r>
    </w:p>
    <w:p w14:paraId="5610D40B" w14:textId="77777777" w:rsidR="0023478F" w:rsidRDefault="0023478F" w:rsidP="0023478F">
      <w:pPr>
        <w:pStyle w:val="paragraph"/>
        <w:numPr>
          <w:ilvl w:val="0"/>
          <w:numId w:val="3"/>
        </w:numPr>
        <w:spacing w:before="0" w:beforeAutospacing="0" w:after="0" w:afterAutospacing="0"/>
        <w:ind w:left="99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Immediate Jeopardy (Please see Policy for Management of Complaints and Adverse Incidents for details)</w:t>
      </w:r>
      <w:r>
        <w:rPr>
          <w:rStyle w:val="eop"/>
          <w:rFonts w:ascii="Cambria" w:hAnsi="Cambria" w:cs="Segoe UI"/>
        </w:rPr>
        <w:t> </w:t>
      </w:r>
    </w:p>
    <w:p w14:paraId="5EA396CA" w14:textId="77777777" w:rsidR="0023478F" w:rsidRDefault="0023478F" w:rsidP="0023478F">
      <w:pPr>
        <w:pStyle w:val="paragraph"/>
        <w:numPr>
          <w:ilvl w:val="0"/>
          <w:numId w:val="4"/>
        </w:numPr>
        <w:spacing w:before="0" w:beforeAutospacing="0" w:after="0" w:afterAutospacing="0"/>
        <w:ind w:left="99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Verification of Corrective Action</w:t>
      </w:r>
      <w:r>
        <w:rPr>
          <w:rStyle w:val="eop"/>
          <w:rFonts w:ascii="Cambria" w:hAnsi="Cambria" w:cs="Segoe UI"/>
        </w:rPr>
        <w:t> </w:t>
      </w:r>
    </w:p>
    <w:p w14:paraId="44DCB9B2" w14:textId="77777777" w:rsidR="0023478F" w:rsidRDefault="0023478F" w:rsidP="0023478F">
      <w:pPr>
        <w:pStyle w:val="paragraph"/>
        <w:spacing w:before="0" w:beforeAutospacing="0" w:after="0" w:afterAutospacing="0"/>
        <w:ind w:left="900" w:righ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A38B729" w14:textId="1316952B" w:rsidR="00576C40" w:rsidRPr="00063EC6" w:rsidRDefault="00DC5534" w:rsidP="00661FB5">
      <w:pPr>
        <w:rPr>
          <w:rFonts w:ascii="Arial" w:hAnsi="Arial" w:cs="Arial"/>
        </w:rPr>
      </w:pPr>
      <w:r w:rsidRPr="1D1B6C8B">
        <w:rPr>
          <w:rFonts w:ascii="Arial" w:hAnsi="Arial" w:cs="Arial"/>
          <w:b/>
          <w:bCs/>
          <w:sz w:val="24"/>
          <w:szCs w:val="24"/>
        </w:rPr>
        <w:t>Policy</w:t>
      </w:r>
      <w:r w:rsidRPr="1D1B6C8B">
        <w:rPr>
          <w:rFonts w:ascii="Arial" w:hAnsi="Arial" w:cs="Arial"/>
          <w:b/>
          <w:bCs/>
        </w:rPr>
        <w:t>:</w:t>
      </w:r>
    </w:p>
    <w:p w14:paraId="0D30D002" w14:textId="77777777" w:rsidR="00E65B45" w:rsidRDefault="00E65B45" w:rsidP="00E65B45">
      <w:pPr>
        <w:pStyle w:val="paragraph"/>
        <w:spacing w:before="0" w:beforeAutospacing="0" w:after="0" w:afterAutospacing="0"/>
        <w:ind w:left="240" w:righ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To determine if a follow-up survey is required, use the following criteria: </w:t>
      </w:r>
      <w:r>
        <w:rPr>
          <w:rStyle w:val="eop"/>
          <w:rFonts w:ascii="Cambria" w:hAnsi="Cambria" w:cs="Segoe UI"/>
        </w:rPr>
        <w:t> </w:t>
      </w:r>
    </w:p>
    <w:p w14:paraId="24A89261" w14:textId="77777777" w:rsidR="00E65B45" w:rsidRDefault="00E65B45" w:rsidP="00E65B45">
      <w:pPr>
        <w:pStyle w:val="paragraph"/>
        <w:spacing w:before="0" w:beforeAutospacing="0" w:after="0" w:afterAutospacing="0"/>
        <w:ind w:left="240" w:righ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720448CF" w14:textId="77777777" w:rsidR="00E65B45" w:rsidRDefault="00E65B45" w:rsidP="00E65B45">
      <w:pPr>
        <w:pStyle w:val="paragraph"/>
        <w:spacing w:before="0" w:beforeAutospacing="0" w:after="0" w:afterAutospacing="0"/>
        <w:ind w:left="240" w:righ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u w:val="single"/>
        </w:rPr>
        <w:t>Non-Medicare Accreditation Initial and Renewal Survey</w:t>
      </w:r>
      <w:r>
        <w:rPr>
          <w:rStyle w:val="normaltextrun"/>
          <w:rFonts w:ascii="Cambria" w:hAnsi="Cambria" w:cs="Segoe UI"/>
        </w:rPr>
        <w:t>:</w:t>
      </w:r>
      <w:r>
        <w:rPr>
          <w:rStyle w:val="eop"/>
          <w:rFonts w:ascii="Cambria" w:hAnsi="Cambria" w:cs="Segoe UI"/>
        </w:rPr>
        <w:t> </w:t>
      </w:r>
    </w:p>
    <w:p w14:paraId="296A2888" w14:textId="77777777" w:rsidR="00E65B45" w:rsidRDefault="00E65B45" w:rsidP="00E65B45">
      <w:pPr>
        <w:pStyle w:val="paragraph"/>
        <w:spacing w:before="0" w:beforeAutospacing="0" w:after="0" w:afterAutospacing="0"/>
        <w:ind w:left="240" w:righ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Facilities cited for deficiencies that constitute significant concern due to the severity, prevalence, or nature of the deficiencies such as:</w:t>
      </w:r>
      <w:r>
        <w:rPr>
          <w:rStyle w:val="eop"/>
          <w:rFonts w:ascii="Cambria" w:hAnsi="Cambria" w:cs="Segoe UI"/>
        </w:rPr>
        <w:t> </w:t>
      </w:r>
    </w:p>
    <w:p w14:paraId="68A1C2A5" w14:textId="77777777" w:rsidR="00E65B45" w:rsidRDefault="00E65B45" w:rsidP="00E65B45">
      <w:pPr>
        <w:pStyle w:val="paragraph"/>
        <w:numPr>
          <w:ilvl w:val="0"/>
          <w:numId w:val="5"/>
        </w:numPr>
        <w:spacing w:before="0" w:beforeAutospacing="0" w:after="0" w:afterAutospacing="0"/>
        <w:ind w:left="13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An entire </w:t>
      </w:r>
      <w:proofErr w:type="gramStart"/>
      <w:r>
        <w:rPr>
          <w:rStyle w:val="normaltextrun"/>
          <w:rFonts w:ascii="Cambria" w:hAnsi="Cambria" w:cs="Segoe UI"/>
        </w:rPr>
        <w:t>section</w:t>
      </w:r>
      <w:proofErr w:type="gramEnd"/>
      <w:r>
        <w:rPr>
          <w:rStyle w:val="normaltextrun"/>
          <w:rFonts w:ascii="Cambria" w:hAnsi="Cambria" w:cs="Segoe UI"/>
        </w:rPr>
        <w:t xml:space="preserve"> or more than 50% of any one sub-section is marked as non-compliant. An exception is 1.F.1-18 Patient Safety Data Reporting – a facility could be marked non-compliant with all standards due to failure to report. This may be considered one deficiency in determining the need for a follow-up survey. If a follow-up survey is required, this section must be included in that review.</w:t>
      </w:r>
      <w:r>
        <w:rPr>
          <w:rStyle w:val="eop"/>
          <w:rFonts w:ascii="Cambria" w:hAnsi="Cambria" w:cs="Segoe UI"/>
        </w:rPr>
        <w:t> </w:t>
      </w:r>
    </w:p>
    <w:p w14:paraId="20B51A98" w14:textId="77777777" w:rsidR="00E65B45" w:rsidRDefault="00E65B45" w:rsidP="00E65B45">
      <w:pPr>
        <w:pStyle w:val="paragraph"/>
        <w:numPr>
          <w:ilvl w:val="0"/>
          <w:numId w:val="6"/>
        </w:numPr>
        <w:spacing w:before="0" w:beforeAutospacing="0" w:after="0" w:afterAutospacing="0"/>
        <w:ind w:left="13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Any clinical issues of a severe or pervasive nature must be reviewed by a member of the QUAD A clinical team, Accreditation Committee, or Investigative Committee.</w:t>
      </w:r>
      <w:r>
        <w:rPr>
          <w:rStyle w:val="eop"/>
          <w:rFonts w:ascii="Cambria" w:hAnsi="Cambria" w:cs="Segoe UI"/>
        </w:rPr>
        <w:t> </w:t>
      </w:r>
    </w:p>
    <w:p w14:paraId="5ECA0D36" w14:textId="77777777" w:rsidR="00E65B45" w:rsidRDefault="00E65B45" w:rsidP="00E65B45">
      <w:pPr>
        <w:pStyle w:val="paragraph"/>
        <w:numPr>
          <w:ilvl w:val="0"/>
          <w:numId w:val="7"/>
        </w:numPr>
        <w:spacing w:before="0" w:beforeAutospacing="0" w:after="0" w:afterAutospacing="0"/>
        <w:ind w:left="13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While there is no set number applied in all cases, as a general guide, if there are 20 or more deficiencies, a follow-up survey will normally be required. Be mindful that one finding across multiple standards may be considered as one deficiency (seek confirmation from management for such </w:t>
      </w:r>
      <w:r>
        <w:rPr>
          <w:rStyle w:val="normaltextrun"/>
          <w:rFonts w:ascii="Cambria" w:hAnsi="Cambria" w:cs="Segoe UI"/>
        </w:rPr>
        <w:lastRenderedPageBreak/>
        <w:t>determination). Deficiencies that were corrected on site are included in the total number of deficiencies to determine the need for a follow-up survey.</w:t>
      </w:r>
      <w:r>
        <w:rPr>
          <w:rStyle w:val="eop"/>
          <w:rFonts w:ascii="Cambria" w:hAnsi="Cambria" w:cs="Segoe UI"/>
        </w:rPr>
        <w:t> </w:t>
      </w:r>
    </w:p>
    <w:p w14:paraId="0869C236" w14:textId="77777777" w:rsidR="00E65B45" w:rsidRDefault="00E65B45" w:rsidP="00E65B45">
      <w:pPr>
        <w:pStyle w:val="paragraph"/>
        <w:numPr>
          <w:ilvl w:val="0"/>
          <w:numId w:val="8"/>
        </w:numPr>
        <w:spacing w:before="0" w:beforeAutospacing="0" w:after="0" w:afterAutospacing="0"/>
        <w:ind w:left="13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mbria" w:hAnsi="Cambria" w:cs="Calibri"/>
        </w:rPr>
        <w:t>A history of repeat deficiencies may require a follow-up survey to ensure the plan of correction has been fully implemented and maintained as stated by the facility. Repeat deficiencies generally indicate a failure to fully implement and sustain compliance with previously cited areas of concern.</w:t>
      </w:r>
      <w:r>
        <w:rPr>
          <w:rStyle w:val="eop"/>
          <w:rFonts w:ascii="Cambria" w:hAnsi="Cambria" w:cs="Calibri"/>
        </w:rPr>
        <w:t> </w:t>
      </w:r>
    </w:p>
    <w:p w14:paraId="5C4C532E" w14:textId="77777777" w:rsidR="00E65B45" w:rsidRDefault="00E65B45" w:rsidP="00E65B45">
      <w:pPr>
        <w:pStyle w:val="paragraph"/>
        <w:spacing w:before="0" w:beforeAutospacing="0" w:after="0" w:afterAutospacing="0"/>
        <w:ind w:righ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1FE313" w14:textId="77777777" w:rsidR="00E65B45" w:rsidRDefault="00E65B45" w:rsidP="00E65B45">
      <w:pPr>
        <w:pStyle w:val="paragraph"/>
        <w:spacing w:before="0" w:beforeAutospacing="0" w:after="0" w:afterAutospacing="0"/>
        <w:ind w:right="9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1D57482A" w14:textId="77777777" w:rsidR="00E65B45" w:rsidRDefault="00E65B45" w:rsidP="00E65B45">
      <w:pPr>
        <w:pStyle w:val="paragraph"/>
        <w:spacing w:before="0" w:beforeAutospacing="0" w:after="0" w:afterAutospacing="0"/>
        <w:ind w:right="9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8783B44" w14:textId="77777777" w:rsidR="00E65B45" w:rsidRDefault="00E65B45" w:rsidP="00E65B45">
      <w:pPr>
        <w:pStyle w:val="paragraph"/>
        <w:spacing w:before="0" w:beforeAutospacing="0" w:after="0" w:afterAutospacing="0"/>
        <w:ind w:left="270" w:right="9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u w:val="single"/>
        </w:rPr>
        <w:t>Validation / Investigative surveys</w:t>
      </w:r>
      <w:r>
        <w:rPr>
          <w:rStyle w:val="normaltextrun"/>
          <w:rFonts w:ascii="Cambria" w:hAnsi="Cambria" w:cs="Segoe UI"/>
          <w:u w:val="single"/>
        </w:rPr>
        <w:t>:</w:t>
      </w:r>
      <w:r>
        <w:rPr>
          <w:rStyle w:val="eop"/>
          <w:rFonts w:ascii="Cambria" w:hAnsi="Cambria" w:cs="Segoe UI"/>
        </w:rPr>
        <w:t> </w:t>
      </w:r>
    </w:p>
    <w:p w14:paraId="77866888" w14:textId="77777777" w:rsidR="00E65B45" w:rsidRDefault="00E65B45" w:rsidP="00E65B45">
      <w:pPr>
        <w:pStyle w:val="paragraph"/>
        <w:spacing w:before="0" w:beforeAutospacing="0" w:after="0" w:afterAutospacing="0"/>
        <w:ind w:left="270" w:right="9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The follow-up survey will focus on the areas of non-compliance found during the previous survey. A second follow-up, if needed, must take place within forty-five (45) calendar days of the previous follow-up survey. </w:t>
      </w:r>
      <w:r>
        <w:rPr>
          <w:rStyle w:val="eop"/>
          <w:rFonts w:ascii="Cambria" w:hAnsi="Cambria" w:cs="Segoe UI"/>
        </w:rPr>
        <w:t> </w:t>
      </w:r>
    </w:p>
    <w:p w14:paraId="7A651886" w14:textId="77777777" w:rsidR="00E65B45" w:rsidRDefault="00E65B45" w:rsidP="00E65B45">
      <w:pPr>
        <w:pStyle w:val="paragraph"/>
        <w:spacing w:before="0" w:beforeAutospacing="0" w:after="0" w:afterAutospacing="0"/>
        <w:ind w:left="960" w:righ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136AB4E8" w14:textId="77777777" w:rsidR="00E65B45" w:rsidRDefault="00E65B45" w:rsidP="00E65B45">
      <w:pPr>
        <w:pStyle w:val="paragraph"/>
        <w:spacing w:before="0" w:beforeAutospacing="0" w:after="0" w:afterAutospacing="0"/>
        <w:ind w:left="240" w:right="9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u w:val="single"/>
        </w:rPr>
        <w:t>Medicare Initial Survey</w:t>
      </w:r>
      <w:r>
        <w:rPr>
          <w:rStyle w:val="normaltextrun"/>
          <w:rFonts w:ascii="Cambria" w:hAnsi="Cambria" w:cs="Segoe UI"/>
          <w:u w:val="single"/>
        </w:rPr>
        <w:t>:</w:t>
      </w:r>
      <w:r>
        <w:rPr>
          <w:rStyle w:val="eop"/>
          <w:rFonts w:ascii="Cambria" w:hAnsi="Cambria" w:cs="Segoe UI"/>
        </w:rPr>
        <w:t> </w:t>
      </w:r>
    </w:p>
    <w:p w14:paraId="7FAAF53B" w14:textId="77777777" w:rsidR="00E65B45" w:rsidRDefault="00E65B45" w:rsidP="00E65B45">
      <w:pPr>
        <w:pStyle w:val="paragraph"/>
        <w:spacing w:before="0" w:beforeAutospacing="0" w:after="0" w:afterAutospacing="0"/>
        <w:ind w:left="240" w:right="9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Facilities cited for condition-level deficiencies during the initial survey will be deferred (denied) and must undergo another </w:t>
      </w:r>
      <w:r>
        <w:rPr>
          <w:rStyle w:val="normaltextrun"/>
          <w:rFonts w:ascii="Cambria" w:hAnsi="Cambria" w:cs="Segoe UI"/>
          <w:u w:val="single"/>
        </w:rPr>
        <w:t>full initial onsite survey</w:t>
      </w:r>
      <w:r>
        <w:rPr>
          <w:rStyle w:val="normaltextrun"/>
          <w:rFonts w:ascii="Cambria" w:hAnsi="Cambria" w:cs="Segoe UI"/>
        </w:rPr>
        <w:t xml:space="preserve">. These facilities are </w:t>
      </w:r>
      <w:r>
        <w:rPr>
          <w:rStyle w:val="normaltextrun"/>
          <w:rFonts w:ascii="Cambria" w:hAnsi="Cambria" w:cs="Segoe UI"/>
          <w:b/>
          <w:bCs/>
        </w:rPr>
        <w:t>not</w:t>
      </w:r>
      <w:r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Cambria" w:hAnsi="Cambria" w:cs="Segoe UI"/>
          <w:b/>
          <w:bCs/>
        </w:rPr>
        <w:t>eligible</w:t>
      </w:r>
      <w:r>
        <w:rPr>
          <w:rStyle w:val="normaltextrun"/>
          <w:rFonts w:ascii="Cambria" w:hAnsi="Cambria" w:cs="Segoe UI"/>
        </w:rPr>
        <w:t xml:space="preserve"> for a follow-up survey.</w:t>
      </w:r>
      <w:r>
        <w:rPr>
          <w:rStyle w:val="eop"/>
          <w:rFonts w:ascii="Cambria" w:hAnsi="Cambria" w:cs="Segoe UI"/>
        </w:rPr>
        <w:t> </w:t>
      </w:r>
    </w:p>
    <w:p w14:paraId="5C8EC72D" w14:textId="77777777" w:rsidR="00E65B45" w:rsidRDefault="00E65B45" w:rsidP="00E65B45">
      <w:pPr>
        <w:pStyle w:val="paragraph"/>
        <w:spacing w:before="0" w:beforeAutospacing="0" w:after="0" w:afterAutospacing="0"/>
        <w:ind w:left="240" w:right="9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C7BF52B" w14:textId="77777777" w:rsidR="00E65B45" w:rsidRDefault="00E65B45" w:rsidP="00E65B45">
      <w:pPr>
        <w:pStyle w:val="paragraph"/>
        <w:spacing w:before="0" w:beforeAutospacing="0" w:after="0" w:afterAutospacing="0"/>
        <w:ind w:left="240" w:right="9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u w:val="single"/>
        </w:rPr>
        <w:t>Medicare Renewal Survey or Initial with CCN</w:t>
      </w:r>
      <w:r>
        <w:rPr>
          <w:rStyle w:val="normaltextrun"/>
          <w:rFonts w:ascii="Cambria" w:hAnsi="Cambria" w:cs="Segoe UI"/>
        </w:rPr>
        <w:t>:</w:t>
      </w:r>
      <w:r>
        <w:rPr>
          <w:rStyle w:val="eop"/>
          <w:rFonts w:ascii="Cambria" w:hAnsi="Cambria" w:cs="Segoe UI"/>
        </w:rPr>
        <w:t> </w:t>
      </w:r>
    </w:p>
    <w:p w14:paraId="6A795B12" w14:textId="77777777" w:rsidR="00E65B45" w:rsidRDefault="00E65B45" w:rsidP="00E65B45">
      <w:pPr>
        <w:pStyle w:val="paragraph"/>
        <w:spacing w:before="0" w:beforeAutospacing="0" w:after="0" w:afterAutospacing="0"/>
        <w:ind w:left="240" w:right="9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Facilities cited for condition-level deficiencies during a routine re-survey or an Initial with CCN survey are required to undergo an unannounced follow-up survey within 45 days of the previous survey end date.</w:t>
      </w:r>
      <w:r>
        <w:rPr>
          <w:rStyle w:val="eop"/>
          <w:rFonts w:ascii="Cambria" w:hAnsi="Cambria" w:cs="Segoe UI"/>
        </w:rPr>
        <w:t> </w:t>
      </w:r>
    </w:p>
    <w:p w14:paraId="4CA7A378" w14:textId="77777777" w:rsidR="00E65B45" w:rsidRDefault="00E65B45" w:rsidP="00E65B45">
      <w:pPr>
        <w:pStyle w:val="paragraph"/>
        <w:spacing w:before="0" w:beforeAutospacing="0" w:after="0" w:afterAutospacing="0"/>
        <w:ind w:left="240" w:right="9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56371BF1" w14:textId="77777777" w:rsidR="00E65B45" w:rsidRDefault="00E65B45" w:rsidP="00E65B45">
      <w:pPr>
        <w:pStyle w:val="paragraph"/>
        <w:spacing w:before="0" w:beforeAutospacing="0" w:after="0" w:afterAutospacing="0"/>
        <w:ind w:left="240" w:right="9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u w:val="single"/>
        </w:rPr>
        <w:t>All Follow-up Surveys</w:t>
      </w:r>
      <w:r>
        <w:rPr>
          <w:rStyle w:val="eop"/>
          <w:rFonts w:ascii="Cambria" w:hAnsi="Cambria" w:cs="Segoe UI"/>
        </w:rPr>
        <w:t> </w:t>
      </w:r>
    </w:p>
    <w:p w14:paraId="1B37D53A" w14:textId="77777777" w:rsidR="00E65B45" w:rsidRDefault="00E65B45" w:rsidP="00E65B45">
      <w:pPr>
        <w:pStyle w:val="paragraph"/>
        <w:spacing w:before="0" w:beforeAutospacing="0" w:after="0" w:afterAutospacing="0"/>
        <w:ind w:left="240" w:right="9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If the surveyor validates the full implementation of all appropriate corrections and no additional deficiencies have been noted, the report will be submitted to the Accreditation Committee for consideration of granting a full accreditation term of 3 years. The requirement for facilities to submit Evidence of Correction (</w:t>
      </w:r>
      <w:proofErr w:type="spellStart"/>
      <w:r>
        <w:rPr>
          <w:rStyle w:val="normaltextrun"/>
          <w:rFonts w:ascii="Cambria" w:hAnsi="Cambria" w:cs="Segoe UI"/>
        </w:rPr>
        <w:t>EoC</w:t>
      </w:r>
      <w:proofErr w:type="spellEnd"/>
      <w:r>
        <w:rPr>
          <w:rStyle w:val="normaltextrun"/>
          <w:rFonts w:ascii="Cambria" w:hAnsi="Cambria" w:cs="Segoe UI"/>
        </w:rPr>
        <w:t xml:space="preserve">) will be deemed satisfied if the onsite surveyor observes that compliance has been achieved during the follow-up survey (the facility will not need to submit additional Evidence of Correction). If, during the follow-up survey, the surveyor finds that the facility continues to be non-compliant with any standard, the facility will be required to submit an </w:t>
      </w:r>
      <w:proofErr w:type="spellStart"/>
      <w:r>
        <w:rPr>
          <w:rStyle w:val="normaltextrun"/>
          <w:rFonts w:ascii="Cambria" w:hAnsi="Cambria" w:cs="Segoe UI"/>
        </w:rPr>
        <w:t>EoC</w:t>
      </w:r>
      <w:proofErr w:type="spellEnd"/>
      <w:r>
        <w:rPr>
          <w:rStyle w:val="normaltextrun"/>
          <w:rFonts w:ascii="Cambria" w:hAnsi="Cambria" w:cs="Segoe UI"/>
        </w:rPr>
        <w:t xml:space="preserve"> only for those standards deemed non-compliant. Any standard found to be compliant during the follow-up survey will not require the submission of an </w:t>
      </w:r>
      <w:proofErr w:type="spellStart"/>
      <w:r>
        <w:rPr>
          <w:rStyle w:val="normaltextrun"/>
          <w:rFonts w:ascii="Cambria" w:hAnsi="Cambria" w:cs="Segoe UI"/>
        </w:rPr>
        <w:t>EoC</w:t>
      </w:r>
      <w:proofErr w:type="spellEnd"/>
      <w:r>
        <w:rPr>
          <w:rStyle w:val="normaltextrun"/>
          <w:rFonts w:ascii="Cambria" w:hAnsi="Cambria" w:cs="Segoe UI"/>
        </w:rPr>
        <w:t>.</w:t>
      </w:r>
      <w:r>
        <w:rPr>
          <w:rStyle w:val="eop"/>
          <w:rFonts w:ascii="Cambria" w:hAnsi="Cambria" w:cs="Segoe UI"/>
        </w:rPr>
        <w:t> </w:t>
      </w:r>
    </w:p>
    <w:sectPr w:rsidR="00E65B45" w:rsidSect="001516A7">
      <w:headerReference w:type="default" r:id="rId10"/>
      <w:footerReference w:type="default" r:id="rId11"/>
      <w:pgSz w:w="12240" w:h="15840"/>
      <w:pgMar w:top="144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7ADE7" w14:textId="77777777" w:rsidR="00636907" w:rsidRDefault="00636907" w:rsidP="005036AA">
      <w:pPr>
        <w:spacing w:after="0" w:line="240" w:lineRule="auto"/>
      </w:pPr>
      <w:r>
        <w:separator/>
      </w:r>
    </w:p>
  </w:endnote>
  <w:endnote w:type="continuationSeparator" w:id="0">
    <w:p w14:paraId="30C39AF3" w14:textId="77777777" w:rsidR="00636907" w:rsidRDefault="00636907" w:rsidP="005036AA">
      <w:pPr>
        <w:spacing w:after="0" w:line="240" w:lineRule="auto"/>
      </w:pPr>
      <w:r>
        <w:continuationSeparator/>
      </w:r>
    </w:p>
  </w:endnote>
  <w:endnote w:type="continuationNotice" w:id="1">
    <w:p w14:paraId="5FD1628F" w14:textId="77777777" w:rsidR="00636907" w:rsidRDefault="00636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26482"/>
      <w:docPartObj>
        <w:docPartGallery w:val="Page Numbers (Bottom of Page)"/>
        <w:docPartUnique/>
      </w:docPartObj>
    </w:sdtPr>
    <w:sdtContent>
      <w:p w14:paraId="316E37C7" w14:textId="6691734A" w:rsidR="00F35B31" w:rsidRDefault="00F35B31">
        <w:pPr>
          <w:pStyle w:val="Footer"/>
          <w:jc w:val="right"/>
        </w:pPr>
      </w:p>
      <w:p w14:paraId="0E840001" w14:textId="3B294581" w:rsidR="00802B92" w:rsidRPr="00A11220" w:rsidRDefault="00802B92" w:rsidP="00802B92">
        <w:pPr>
          <w:pStyle w:val="Footer"/>
          <w:pBdr>
            <w:top w:val="single" w:sz="36" w:space="1" w:color="006298"/>
          </w:pBdr>
          <w:rPr>
            <w:rFonts w:ascii="Arial" w:hAnsi="Arial" w:cs="Arial"/>
            <w:color w:val="808080" w:themeColor="background1" w:themeShade="80"/>
            <w:sz w:val="18"/>
            <w:szCs w:val="18"/>
          </w:rPr>
        </w:pPr>
      </w:p>
      <w:tbl>
        <w:tblPr>
          <w:tblStyle w:val="TableGrid"/>
          <w:tblW w:w="0" w:type="auto"/>
          <w:jc w:val="center"/>
          <w:tblLook w:val="04A0" w:firstRow="1" w:lastRow="0" w:firstColumn="1" w:lastColumn="0" w:noHBand="0" w:noVBand="1"/>
        </w:tblPr>
        <w:tblGrid>
          <w:gridCol w:w="2509"/>
          <w:gridCol w:w="2413"/>
          <w:gridCol w:w="2444"/>
          <w:gridCol w:w="2210"/>
        </w:tblGrid>
        <w:tr w:rsidR="001516A7" w14:paraId="739362B3" w14:textId="699E4432" w:rsidTr="001516A7">
          <w:trPr>
            <w:jc w:val="center"/>
          </w:trPr>
          <w:tc>
            <w:tcPr>
              <w:tcW w:w="2713" w:type="dxa"/>
            </w:tcPr>
            <w:p w14:paraId="6C5E97C5" w14:textId="77777777" w:rsidR="001516A7" w:rsidRDefault="001516A7" w:rsidP="00F35B31">
              <w:r w:rsidRPr="001516A7">
                <w:rPr>
                  <w:b/>
                  <w:bCs/>
                </w:rPr>
                <w:t>Developed</w:t>
              </w:r>
              <w:r>
                <w:t>:</w:t>
              </w:r>
            </w:p>
            <w:p w14:paraId="03F14F8A" w14:textId="77777777" w:rsidR="001516A7" w:rsidRDefault="001516A7" w:rsidP="00F35B31"/>
          </w:tc>
          <w:tc>
            <w:tcPr>
              <w:tcW w:w="2646" w:type="dxa"/>
            </w:tcPr>
            <w:p w14:paraId="4261738C" w14:textId="77777777" w:rsidR="001516A7" w:rsidRDefault="001516A7" w:rsidP="00F35B31">
              <w:r w:rsidRPr="001516A7">
                <w:rPr>
                  <w:b/>
                  <w:bCs/>
                </w:rPr>
                <w:t>Revised</w:t>
              </w:r>
              <w:r>
                <w:t>:</w:t>
              </w:r>
            </w:p>
            <w:p w14:paraId="5B85150F" w14:textId="3DF0A32A" w:rsidR="00D22EA2" w:rsidRDefault="00D22EA2" w:rsidP="00F35B31">
              <w:r>
                <w:t>11/2023</w:t>
              </w:r>
            </w:p>
          </w:tc>
          <w:tc>
            <w:tcPr>
              <w:tcW w:w="2668" w:type="dxa"/>
            </w:tcPr>
            <w:p w14:paraId="2D5FEC9F" w14:textId="77777777" w:rsidR="001516A7" w:rsidRDefault="001516A7" w:rsidP="00F35B31">
              <w:r w:rsidRPr="001516A7">
                <w:rPr>
                  <w:b/>
                  <w:bCs/>
                </w:rPr>
                <w:t>Effective</w:t>
              </w:r>
              <w:r>
                <w:t>:</w:t>
              </w:r>
            </w:p>
            <w:p w14:paraId="1B85B592" w14:textId="0FC1BED9" w:rsidR="00D22EA2" w:rsidRDefault="00D22EA2" w:rsidP="00F35B31">
              <w:r>
                <w:t>11/2023</w:t>
              </w:r>
            </w:p>
          </w:tc>
          <w:tc>
            <w:tcPr>
              <w:tcW w:w="2464" w:type="dxa"/>
            </w:tcPr>
            <w:p w14:paraId="22DC4269" w14:textId="77777777" w:rsidR="00F30A81" w:rsidRDefault="00F30A81" w:rsidP="00F30A81">
              <w:pPr>
                <w:pStyle w:val="Footer"/>
                <w:jc w:val="center"/>
                <w:rPr>
                  <w:color w:val="4472C4" w:themeColor="accent1"/>
                </w:rPr>
              </w:pPr>
              <w:r>
                <w:rPr>
                  <w:color w:val="4472C4" w:themeColor="accent1"/>
                </w:rPr>
                <w:t xml:space="preserve">Page </w:t>
              </w:r>
              <w:r>
                <w:rPr>
                  <w:color w:val="4472C4" w:themeColor="accent1"/>
                </w:rPr>
                <w:fldChar w:fldCharType="begin"/>
              </w:r>
              <w:r>
                <w:rPr>
                  <w:color w:val="4472C4" w:themeColor="accent1"/>
                </w:rPr>
                <w:instrText xml:space="preserve"> PAGE  \* Arabic  \* MERGEFORMAT </w:instrText>
              </w:r>
              <w:r>
                <w:rPr>
                  <w:color w:val="4472C4" w:themeColor="accent1"/>
                </w:rPr>
                <w:fldChar w:fldCharType="separate"/>
              </w:r>
              <w:r>
                <w:rPr>
                  <w:color w:val="4472C4" w:themeColor="accent1"/>
                </w:rPr>
                <w:t>1</w:t>
              </w:r>
              <w:r>
                <w:rPr>
                  <w:color w:val="4472C4" w:themeColor="accent1"/>
                </w:rPr>
                <w:fldChar w:fldCharType="end"/>
              </w:r>
              <w:r>
                <w:rPr>
                  <w:color w:val="4472C4" w:themeColor="accent1"/>
                </w:rPr>
                <w:t xml:space="preserve"> of </w:t>
              </w:r>
              <w:r>
                <w:rPr>
                  <w:color w:val="4472C4" w:themeColor="accent1"/>
                </w:rPr>
                <w:fldChar w:fldCharType="begin"/>
              </w:r>
              <w:r>
                <w:rPr>
                  <w:color w:val="4472C4" w:themeColor="accent1"/>
                </w:rPr>
                <w:instrText xml:space="preserve"> NUMPAGES  \* Arabic  \* MERGEFORMAT </w:instrText>
              </w:r>
              <w:r>
                <w:rPr>
                  <w:color w:val="4472C4" w:themeColor="accent1"/>
                </w:rPr>
                <w:fldChar w:fldCharType="separate"/>
              </w:r>
              <w:r>
                <w:rPr>
                  <w:color w:val="4472C4" w:themeColor="accent1"/>
                </w:rPr>
                <w:t>1</w:t>
              </w:r>
              <w:r>
                <w:rPr>
                  <w:color w:val="4472C4" w:themeColor="accent1"/>
                </w:rPr>
                <w:fldChar w:fldCharType="end"/>
              </w:r>
            </w:p>
            <w:p w14:paraId="77AB2EEB" w14:textId="4E386C56" w:rsidR="001516A7" w:rsidRDefault="00000000" w:rsidP="00F35B31"/>
          </w:tc>
        </w:tr>
      </w:tbl>
    </w:sdtContent>
  </w:sdt>
  <w:p w14:paraId="14357EFD" w14:textId="77777777" w:rsidR="00DC5534" w:rsidRDefault="00DC5534" w:rsidP="00DC553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3CF2" w14:textId="77777777" w:rsidR="00636907" w:rsidRDefault="00636907" w:rsidP="005036AA">
      <w:pPr>
        <w:spacing w:after="0" w:line="240" w:lineRule="auto"/>
      </w:pPr>
      <w:r>
        <w:separator/>
      </w:r>
    </w:p>
  </w:footnote>
  <w:footnote w:type="continuationSeparator" w:id="0">
    <w:p w14:paraId="57A5EC8E" w14:textId="77777777" w:rsidR="00636907" w:rsidRDefault="00636907" w:rsidP="005036AA">
      <w:pPr>
        <w:spacing w:after="0" w:line="240" w:lineRule="auto"/>
      </w:pPr>
      <w:r>
        <w:continuationSeparator/>
      </w:r>
    </w:p>
  </w:footnote>
  <w:footnote w:type="continuationNotice" w:id="1">
    <w:p w14:paraId="6FDC62E0" w14:textId="77777777" w:rsidR="00636907" w:rsidRDefault="00636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07D5" w14:textId="3600464F" w:rsidR="005036AA" w:rsidRDefault="005036AA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3961B9E" wp14:editId="098B58C9">
          <wp:simplePos x="0" y="0"/>
          <wp:positionH relativeFrom="margin">
            <wp:posOffset>1908175</wp:posOffset>
          </wp:positionH>
          <wp:positionV relativeFrom="paragraph">
            <wp:posOffset>-266700</wp:posOffset>
          </wp:positionV>
          <wp:extent cx="2130725" cy="717921"/>
          <wp:effectExtent l="0" t="0" r="3175" b="6350"/>
          <wp:wrapTopAndBottom/>
          <wp:docPr id="2064602569" name="Picture 206460256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725" cy="717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996"/>
    <w:multiLevelType w:val="multilevel"/>
    <w:tmpl w:val="FA4A76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58601C"/>
    <w:multiLevelType w:val="multilevel"/>
    <w:tmpl w:val="CA5CC9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ADB7713"/>
    <w:multiLevelType w:val="multilevel"/>
    <w:tmpl w:val="EDD0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87472F"/>
    <w:multiLevelType w:val="multilevel"/>
    <w:tmpl w:val="2E12D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A8E1CA1"/>
    <w:multiLevelType w:val="hybridMultilevel"/>
    <w:tmpl w:val="2D2E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602E"/>
    <w:multiLevelType w:val="multilevel"/>
    <w:tmpl w:val="2B8E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0725FD"/>
    <w:multiLevelType w:val="multilevel"/>
    <w:tmpl w:val="352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7E498C"/>
    <w:multiLevelType w:val="multilevel"/>
    <w:tmpl w:val="833ACB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14636527">
    <w:abstractNumId w:val="4"/>
  </w:num>
  <w:num w:numId="2" w16cid:durableId="167796285">
    <w:abstractNumId w:val="2"/>
  </w:num>
  <w:num w:numId="3" w16cid:durableId="1153791301">
    <w:abstractNumId w:val="6"/>
  </w:num>
  <w:num w:numId="4" w16cid:durableId="276839389">
    <w:abstractNumId w:val="5"/>
  </w:num>
  <w:num w:numId="5" w16cid:durableId="1905066868">
    <w:abstractNumId w:val="1"/>
  </w:num>
  <w:num w:numId="6" w16cid:durableId="1311323812">
    <w:abstractNumId w:val="0"/>
  </w:num>
  <w:num w:numId="7" w16cid:durableId="783571781">
    <w:abstractNumId w:val="7"/>
  </w:num>
  <w:num w:numId="8" w16cid:durableId="1853493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0"/>
    <w:rsid w:val="00063EC6"/>
    <w:rsid w:val="000B1F91"/>
    <w:rsid w:val="001516A7"/>
    <w:rsid w:val="001544D9"/>
    <w:rsid w:val="001E2192"/>
    <w:rsid w:val="0023030C"/>
    <w:rsid w:val="0023478F"/>
    <w:rsid w:val="00244AF5"/>
    <w:rsid w:val="002C6D80"/>
    <w:rsid w:val="003815B0"/>
    <w:rsid w:val="003E33C6"/>
    <w:rsid w:val="00486BF3"/>
    <w:rsid w:val="005036AA"/>
    <w:rsid w:val="00576C40"/>
    <w:rsid w:val="00587338"/>
    <w:rsid w:val="005944D0"/>
    <w:rsid w:val="005B2A8C"/>
    <w:rsid w:val="00636907"/>
    <w:rsid w:val="00661FB5"/>
    <w:rsid w:val="006871B0"/>
    <w:rsid w:val="006D1982"/>
    <w:rsid w:val="00802B92"/>
    <w:rsid w:val="0084577B"/>
    <w:rsid w:val="008460D2"/>
    <w:rsid w:val="00877A9B"/>
    <w:rsid w:val="00892DA0"/>
    <w:rsid w:val="008A6699"/>
    <w:rsid w:val="008C49D7"/>
    <w:rsid w:val="008E100D"/>
    <w:rsid w:val="00936F15"/>
    <w:rsid w:val="009D2B2D"/>
    <w:rsid w:val="00A87DE2"/>
    <w:rsid w:val="00B17EFF"/>
    <w:rsid w:val="00B42037"/>
    <w:rsid w:val="00BD731A"/>
    <w:rsid w:val="00BE44B2"/>
    <w:rsid w:val="00C3795F"/>
    <w:rsid w:val="00D16A4C"/>
    <w:rsid w:val="00D17335"/>
    <w:rsid w:val="00D22EA2"/>
    <w:rsid w:val="00D27211"/>
    <w:rsid w:val="00D85108"/>
    <w:rsid w:val="00DC5534"/>
    <w:rsid w:val="00E105C2"/>
    <w:rsid w:val="00E65B45"/>
    <w:rsid w:val="00EB7959"/>
    <w:rsid w:val="00F30A81"/>
    <w:rsid w:val="00F31317"/>
    <w:rsid w:val="00F35B31"/>
    <w:rsid w:val="00F44520"/>
    <w:rsid w:val="00F7278F"/>
    <w:rsid w:val="1D1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30E0C"/>
  <w15:chartTrackingRefBased/>
  <w15:docId w15:val="{86C949C2-A21D-4EBC-A8BD-8C45B98B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6C40"/>
    <w:pPr>
      <w:keepNext/>
      <w:spacing w:after="0" w:line="240" w:lineRule="auto"/>
      <w:outlineLvl w:val="1"/>
    </w:pPr>
    <w:rPr>
      <w:rFonts w:ascii="Arial Black" w:eastAsia="Times New Roman" w:hAnsi="Arial Black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76C40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0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36AA"/>
  </w:style>
  <w:style w:type="paragraph" w:styleId="Footer">
    <w:name w:val="footer"/>
    <w:basedOn w:val="Normal"/>
    <w:link w:val="FooterChar"/>
    <w:uiPriority w:val="99"/>
    <w:unhideWhenUsed/>
    <w:rsid w:val="0050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6AA"/>
  </w:style>
  <w:style w:type="character" w:customStyle="1" w:styleId="Heading2Char">
    <w:name w:val="Heading 2 Char"/>
    <w:basedOn w:val="DefaultParagraphFont"/>
    <w:link w:val="Heading2"/>
    <w:rsid w:val="00576C40"/>
    <w:rPr>
      <w:rFonts w:ascii="Arial Black" w:eastAsia="Times New Roman" w:hAnsi="Arial Black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576C40"/>
    <w:rPr>
      <w:rFonts w:ascii="Arial" w:eastAsia="Times New Roman" w:hAnsi="Arial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576C40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76C40"/>
    <w:rPr>
      <w:rFonts w:ascii="Bookman Old Style" w:eastAsia="Times New Roman" w:hAnsi="Bookman Old Style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576C4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576C40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576C40"/>
    <w:pPr>
      <w:spacing w:after="0" w:line="240" w:lineRule="auto"/>
    </w:pPr>
  </w:style>
  <w:style w:type="table" w:styleId="TableGrid">
    <w:name w:val="Table Grid"/>
    <w:basedOn w:val="TableNormal"/>
    <w:uiPriority w:val="39"/>
    <w:rsid w:val="00C3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PageHeaders">
    <w:name w:val="QA Page Headers"/>
    <w:basedOn w:val="Heading1"/>
    <w:link w:val="QAPageHeadersChar"/>
    <w:qFormat/>
    <w:rsid w:val="00877A9B"/>
    <w:pPr>
      <w:spacing w:before="0"/>
    </w:pPr>
    <w:rPr>
      <w:rFonts w:ascii="Arial" w:hAnsi="Arial" w:cs="Arial"/>
      <w:b/>
      <w:bCs/>
      <w:color w:val="016299"/>
      <w:kern w:val="2"/>
    </w:rPr>
  </w:style>
  <w:style w:type="character" w:customStyle="1" w:styleId="QAPageHeadersChar">
    <w:name w:val="QA Page Headers Char"/>
    <w:basedOn w:val="DefaultParagraphFont"/>
    <w:link w:val="QAPageHeaders"/>
    <w:rsid w:val="00877A9B"/>
    <w:rPr>
      <w:rFonts w:ascii="Arial" w:eastAsiaTheme="majorEastAsia" w:hAnsi="Arial" w:cs="Arial"/>
      <w:b/>
      <w:bCs/>
      <w:color w:val="016299"/>
      <w:kern w:val="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77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2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478F"/>
  </w:style>
  <w:style w:type="character" w:customStyle="1" w:styleId="eop">
    <w:name w:val="eop"/>
    <w:basedOn w:val="DefaultParagraphFont"/>
    <w:rsid w:val="0023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743E2345BE42A6E37B3C3DE0BC84" ma:contentTypeVersion="8" ma:contentTypeDescription="Create a new document." ma:contentTypeScope="" ma:versionID="9710be39436492dc61ba81c9f70efc10">
  <xsd:schema xmlns:xsd="http://www.w3.org/2001/XMLSchema" xmlns:xs="http://www.w3.org/2001/XMLSchema" xmlns:p="http://schemas.microsoft.com/office/2006/metadata/properties" xmlns:ns2="15aaeb4f-6622-4fc2-8f52-eea70ef46845" targetNamespace="http://schemas.microsoft.com/office/2006/metadata/properties" ma:root="true" ma:fieldsID="2f92ea6cf5fec1711a816d9a7ed3f954" ns2:_="">
    <xsd:import namespace="15aaeb4f-6622-4fc2-8f52-eea70ef46845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Type" minOccurs="0"/>
                <xsd:element ref="ns2:InResourceGuide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aeb4f-6622-4fc2-8f52-eea70ef46845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Administration"/>
                    <xsd:enumeration value="Accreditation"/>
                    <xsd:enumeration value="Clinical Team"/>
                    <xsd:enumeration value="Compliance"/>
                    <xsd:enumeration value="Marketing"/>
                    <xsd:enumeration value="Scheduling"/>
                    <xsd:enumeration value="Standards"/>
                    <xsd:enumeration value="Surveyor"/>
                    <xsd:enumeration value="Training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Template"/>
                    <xsd:enumeration value="Form"/>
                  </xsd:restriction>
                </xsd:simpleType>
              </xsd:element>
            </xsd:sequence>
          </xsd:extension>
        </xsd:complexContent>
      </xsd:complexType>
    </xsd:element>
    <xsd:element name="InResourceGuide" ma:index="14" nillable="true" ma:displayName="Resource Guide" ma:default="0" ma:format="Dropdown" ma:internalName="InResourceGuide">
      <xsd:simpleType>
        <xsd:restriction base="dms:Boolean"/>
      </xsd:simpleType>
    </xsd:element>
    <xsd:element name="Approved" ma:index="15" nillable="true" ma:displayName="Approved" ma:format="DateOnly" ma:internalName="Appro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15aaeb4f-6622-4fc2-8f52-eea70ef46845">
      <Value>Administration</Value>
      <Value>Compliance</Value>
      <Value>Accreditation</Value>
      <Value>Accounting</Value>
      <Value>Clinical Team</Value>
      <Value>Marketing</Value>
      <Value>Scheduling</Value>
      <Value>Standards</Value>
      <Value>Surveyor</Value>
      <Value>Training</Value>
      <Value>Travel</Value>
    </Department>
    <DocumentType xmlns="15aaeb4f-6622-4fc2-8f52-eea70ef46845">
      <Value>Procedure</Value>
      <Value>Policy</Value>
    </DocumentType>
    <InResourceGuide xmlns="15aaeb4f-6622-4fc2-8f52-eea70ef46845">false</InResourceGuide>
    <Approved xmlns="15aaeb4f-6622-4fc2-8f52-eea70ef46845" xsi:nil="true"/>
  </documentManagement>
</p:properties>
</file>

<file path=customXml/itemProps1.xml><?xml version="1.0" encoding="utf-8"?>
<ds:datastoreItem xmlns:ds="http://schemas.openxmlformats.org/officeDocument/2006/customXml" ds:itemID="{F13018A2-2F34-4429-8102-D0F10C159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500A-7FA6-4C33-BD76-829899D6F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aeb4f-6622-4fc2-8f52-eea70ef46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9276F-1AF7-4D1D-89FC-C7B40F79BECA}">
  <ds:schemaRefs>
    <ds:schemaRef ds:uri="http://schemas.microsoft.com/office/2006/metadata/properties"/>
    <ds:schemaRef ds:uri="http://schemas.microsoft.com/office/infopath/2007/PartnerControls"/>
    <ds:schemaRef ds:uri="15aaeb4f-6622-4fc2-8f52-eea70ef468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3569</Characters>
  <Application>Microsoft Office Word</Application>
  <DocSecurity>0</DocSecurity>
  <Lines>77</Lines>
  <Paragraphs>27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Robins</dc:creator>
  <cp:keywords/>
  <dc:description/>
  <cp:lastModifiedBy>Monda Shaver</cp:lastModifiedBy>
  <cp:revision>7</cp:revision>
  <dcterms:created xsi:type="dcterms:W3CDTF">2024-07-24T14:22:00Z</dcterms:created>
  <dcterms:modified xsi:type="dcterms:W3CDTF">2024-07-24T14:29:00Z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0x01010044F6743E2345BE42A6E37B3C3DE0BC84</vt:lpwstr>
  </property>
  <property fmtid="{D5CDD505-2E9C-101B-9397-08002B2CF9AE}" pid="3" name="GrammarlyDocumentId">
    <vt:lpwstr>a3a5bd656e2337955d8a3150028348f15adc40d7c4410ce73f6b950af2da4d1d</vt:lpwstr>
  </property>
</Properties>
</file>